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12" w:rsidRDefault="00C504DF" w:rsidP="00454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Gerontagogika 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4134F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>okruh</w:t>
      </w:r>
      <w:r w:rsidR="00A4134F" w:rsidRPr="006A23B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SZZ</w:t>
      </w:r>
      <w:r w:rsidR="00A4134F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oboru Edukační péče o seniory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23BB">
        <w:rPr>
          <w:rFonts w:ascii="Times New Roman" w:hAnsi="Times New Roman" w:cs="Times New Roman"/>
          <w:b/>
          <w:sz w:val="24"/>
          <w:szCs w:val="24"/>
          <w:u w:val="single"/>
        </w:rPr>
        <w:t>(AR 2018/19)</w:t>
      </w:r>
      <w:bookmarkEnd w:id="0"/>
    </w:p>
    <w:p w:rsidR="00454335" w:rsidRPr="006A23BB" w:rsidRDefault="00454335" w:rsidP="004543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957" w:rsidRPr="006A23BB" w:rsidRDefault="00C504DF" w:rsidP="00454335">
      <w:pPr>
        <w:pStyle w:val="default0"/>
        <w:numPr>
          <w:ilvl w:val="0"/>
          <w:numId w:val="1"/>
        </w:numPr>
        <w:spacing w:after="59" w:afterAutospacing="0"/>
        <w:ind w:left="360"/>
        <w:jc w:val="both"/>
      </w:pPr>
      <w:r w:rsidRPr="006A23BB">
        <w:t xml:space="preserve">Charakteristika základních gerontagogických pojmů: senior </w:t>
      </w:r>
      <w:r w:rsidR="006A23BB" w:rsidRPr="006A23BB">
        <w:t>–</w:t>
      </w:r>
      <w:r w:rsidRPr="006A23BB">
        <w:t xml:space="preserve"> edukant, geragog</w:t>
      </w:r>
      <w:r w:rsidR="00797110" w:rsidRPr="006A23BB">
        <w:t>/gerontagog</w:t>
      </w:r>
      <w:r w:rsidRPr="006A23BB">
        <w:t xml:space="preserve"> </w:t>
      </w:r>
      <w:r w:rsidR="00797110" w:rsidRPr="006A23BB">
        <w:t>–</w:t>
      </w:r>
      <w:r w:rsidRPr="006A23BB">
        <w:t xml:space="preserve"> edukátor</w:t>
      </w:r>
      <w:r w:rsidR="00797110" w:rsidRPr="006A23BB">
        <w:t>;</w:t>
      </w:r>
      <w:r w:rsidRPr="006A23BB">
        <w:t xml:space="preserve"> edukace, </w:t>
      </w:r>
      <w:r w:rsidR="00797110" w:rsidRPr="006A23BB">
        <w:t xml:space="preserve">učení, sebeučení seniorů, </w:t>
      </w:r>
      <w:r w:rsidRPr="006A23BB">
        <w:t xml:space="preserve">výchova, sebevýchova, </w:t>
      </w:r>
      <w:r w:rsidR="00797110" w:rsidRPr="006A23BB">
        <w:t xml:space="preserve">kultivace, péče, </w:t>
      </w:r>
      <w:r w:rsidRPr="006A23BB">
        <w:t>vzdělávání, sebevzdělávání</w:t>
      </w:r>
      <w:r w:rsidR="00797110" w:rsidRPr="006A23BB">
        <w:t>;</w:t>
      </w:r>
      <w:r w:rsidRPr="006A23BB">
        <w:t xml:space="preserve"> učební plán, učební osnova</w:t>
      </w:r>
      <w:r w:rsidR="00797110" w:rsidRPr="006A23BB">
        <w:t xml:space="preserve">; </w:t>
      </w:r>
      <w:r w:rsidR="0004389C" w:rsidRPr="006A23BB">
        <w:t>vzdělání</w:t>
      </w:r>
      <w:r w:rsidRPr="006A23BB">
        <w:t xml:space="preserve">. </w:t>
      </w:r>
    </w:p>
    <w:p w:rsidR="00F83957" w:rsidRPr="006A23BB" w:rsidRDefault="00C504DF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Vznik a vývoj gerontagogiky jako vědní disciplíny. Představa kl</w:t>
      </w:r>
      <w:r w:rsidR="00F83957" w:rsidRPr="006A23BB">
        <w:rPr>
          <w:rFonts w:ascii="Times New Roman" w:hAnsi="Times New Roman" w:cs="Times New Roman"/>
          <w:sz w:val="24"/>
          <w:szCs w:val="24"/>
        </w:rPr>
        <w:t>asiků o edukaci seniorů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 (</w:t>
      </w:r>
      <w:r w:rsidR="00F83957" w:rsidRPr="006A23BB">
        <w:rPr>
          <w:rFonts w:ascii="Times New Roman" w:hAnsi="Times New Roman" w:cs="Times New Roman"/>
          <w:sz w:val="24"/>
          <w:szCs w:val="24"/>
        </w:rPr>
        <w:t>Komenského Vševýchova</w:t>
      </w:r>
      <w:r w:rsidR="00797110" w:rsidRPr="006A23BB">
        <w:rPr>
          <w:rFonts w:ascii="Times New Roman" w:hAnsi="Times New Roman" w:cs="Times New Roman"/>
          <w:sz w:val="24"/>
          <w:szCs w:val="24"/>
        </w:rPr>
        <w:t>/Pampaedie)</w:t>
      </w:r>
      <w:r w:rsidR="006A23BB" w:rsidRPr="006A23BB">
        <w:rPr>
          <w:rFonts w:ascii="Times New Roman" w:hAnsi="Times New Roman" w:cs="Times New Roman"/>
          <w:sz w:val="24"/>
          <w:szCs w:val="24"/>
        </w:rPr>
        <w:t>.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 E</w:t>
      </w:r>
      <w:r w:rsidR="00F83957" w:rsidRPr="006A23BB">
        <w:rPr>
          <w:rFonts w:ascii="Times New Roman" w:hAnsi="Times New Roman" w:cs="Times New Roman"/>
          <w:sz w:val="24"/>
          <w:szCs w:val="24"/>
        </w:rPr>
        <w:t>dukace seniorů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 a p</w:t>
      </w:r>
      <w:r w:rsidRPr="006A23BB">
        <w:rPr>
          <w:rFonts w:ascii="Times New Roman" w:hAnsi="Times New Roman" w:cs="Times New Roman"/>
          <w:sz w:val="24"/>
          <w:szCs w:val="24"/>
        </w:rPr>
        <w:t xml:space="preserve">ředmět gerontagogiky. </w:t>
      </w:r>
      <w:r w:rsidR="006B4B3B" w:rsidRPr="006A23BB">
        <w:rPr>
          <w:rFonts w:ascii="Times New Roman" w:hAnsi="Times New Roman" w:cs="Times New Roman"/>
          <w:sz w:val="24"/>
          <w:szCs w:val="24"/>
        </w:rPr>
        <w:t>Andragogická báze pro edukační péči o seniory.</w:t>
      </w:r>
      <w:r w:rsidR="004D7259" w:rsidRPr="006A23BB">
        <w:rPr>
          <w:rFonts w:ascii="Times New Roman" w:hAnsi="Times New Roman" w:cs="Times New Roman"/>
          <w:sz w:val="24"/>
          <w:szCs w:val="24"/>
        </w:rPr>
        <w:t xml:space="preserve"> Soudobé monografie.</w:t>
      </w:r>
    </w:p>
    <w:p w:rsidR="00C504DF" w:rsidRPr="006A23BB" w:rsidRDefault="00C504DF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Základní gerontagogické subdisciplíny</w:t>
      </w:r>
      <w:r w:rsidR="00F83957" w:rsidRPr="006A23BB">
        <w:rPr>
          <w:rFonts w:ascii="Times New Roman" w:hAnsi="Times New Roman" w:cs="Times New Roman"/>
          <w:sz w:val="24"/>
          <w:szCs w:val="24"/>
        </w:rPr>
        <w:t xml:space="preserve">: Obecná gerontagogika; Gerontodidaktika; </w:t>
      </w:r>
      <w:r w:rsidR="00F83957" w:rsidRPr="006A23BB">
        <w:rPr>
          <w:rFonts w:ascii="Times New Roman" w:eastAsia="Times New Roman" w:hAnsi="Times New Roman" w:cs="Times New Roman"/>
          <w:sz w:val="24"/>
          <w:szCs w:val="24"/>
        </w:rPr>
        <w:t>Speciální a Sociální gerontagogika. Aplikované g</w:t>
      </w:r>
      <w:r w:rsidR="00B57378" w:rsidRPr="006A23BB">
        <w:rPr>
          <w:rFonts w:ascii="Times New Roman" w:eastAsia="Times New Roman" w:hAnsi="Times New Roman" w:cs="Times New Roman"/>
          <w:sz w:val="24"/>
          <w:szCs w:val="24"/>
        </w:rPr>
        <w:t xml:space="preserve">erontagogické </w:t>
      </w:r>
      <w:r w:rsidR="006A23BB" w:rsidRPr="006A23BB">
        <w:rPr>
          <w:rFonts w:ascii="Times New Roman" w:eastAsia="Times New Roman" w:hAnsi="Times New Roman" w:cs="Times New Roman"/>
          <w:sz w:val="24"/>
          <w:szCs w:val="24"/>
        </w:rPr>
        <w:t>subdisciplíny</w:t>
      </w:r>
      <w:r w:rsidR="00F83957" w:rsidRPr="006A23BB">
        <w:rPr>
          <w:rFonts w:ascii="Times New Roman" w:eastAsia="Times New Roman" w:hAnsi="Times New Roman" w:cs="Times New Roman"/>
          <w:sz w:val="24"/>
          <w:szCs w:val="24"/>
        </w:rPr>
        <w:t>: Psychologie stárnutí a stáří, Základy gerontopsychiatrie, Psychologie zdraví, Sociální patologie u seniorů</w:t>
      </w:r>
      <w:r w:rsidR="006B4B3B" w:rsidRPr="006A2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957" w:rsidRPr="006A23BB" w:rsidRDefault="00C504DF" w:rsidP="00454335">
      <w:pPr>
        <w:pStyle w:val="Default"/>
        <w:numPr>
          <w:ilvl w:val="0"/>
          <w:numId w:val="1"/>
        </w:numPr>
        <w:ind w:left="360"/>
        <w:jc w:val="both"/>
      </w:pPr>
      <w:r w:rsidRPr="006A23BB">
        <w:t>Gerontagogika v konceptu CŽU</w:t>
      </w:r>
      <w:r w:rsidR="00F83957" w:rsidRPr="006A23BB">
        <w:t>. Memorandum o CŽU Evropské komise z r. 2000; formální, neformální a informální učení; Národní program rozvoje vzdělávání v ČR (Bílá kniha) z r. 2001.</w:t>
      </w:r>
    </w:p>
    <w:p w:rsidR="007C1A95" w:rsidRPr="006A23BB" w:rsidRDefault="007C1A95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P</w:t>
      </w:r>
      <w:r w:rsidR="00B57378" w:rsidRPr="006A23BB">
        <w:rPr>
          <w:rFonts w:ascii="Times New Roman" w:hAnsi="Times New Roman" w:cs="Times New Roman"/>
          <w:sz w:val="24"/>
          <w:szCs w:val="24"/>
        </w:rPr>
        <w:t xml:space="preserve">říprava na </w:t>
      </w:r>
      <w:r w:rsidRPr="006A23BB">
        <w:rPr>
          <w:rFonts w:ascii="Times New Roman" w:hAnsi="Times New Roman" w:cs="Times New Roman"/>
          <w:sz w:val="24"/>
          <w:szCs w:val="24"/>
        </w:rPr>
        <w:t>stárnutí</w:t>
      </w:r>
      <w:r w:rsidR="00B57378" w:rsidRPr="006A23BB">
        <w:rPr>
          <w:rFonts w:ascii="Times New Roman" w:hAnsi="Times New Roman" w:cs="Times New Roman"/>
          <w:sz w:val="24"/>
          <w:szCs w:val="24"/>
        </w:rPr>
        <w:t xml:space="preserve"> a stáří; Rodinné zázemí;</w:t>
      </w:r>
      <w:r w:rsidRPr="006A23BB">
        <w:rPr>
          <w:rFonts w:ascii="Times New Roman" w:hAnsi="Times New Roman" w:cs="Times New Roman"/>
          <w:sz w:val="24"/>
          <w:szCs w:val="24"/>
        </w:rPr>
        <w:t xml:space="preserve"> Mezinárodní akční plán pro stárnutí (tzv. Madridský, 2002); Národní plány </w:t>
      </w:r>
      <w:r w:rsidR="00B57378" w:rsidRPr="006A23BB">
        <w:rPr>
          <w:rFonts w:ascii="Times New Roman" w:hAnsi="Times New Roman" w:cs="Times New Roman"/>
          <w:sz w:val="24"/>
          <w:szCs w:val="24"/>
        </w:rPr>
        <w:t xml:space="preserve">přípravy na stáří </w:t>
      </w:r>
      <w:r w:rsidRPr="006A23BB">
        <w:rPr>
          <w:rFonts w:ascii="Times New Roman" w:hAnsi="Times New Roman" w:cs="Times New Roman"/>
          <w:sz w:val="24"/>
          <w:szCs w:val="24"/>
        </w:rPr>
        <w:t>ČR (2003–2007; 2008–2012; 2013–2017; 2018–2022)</w:t>
      </w:r>
      <w:r w:rsidR="00320D53" w:rsidRPr="006A23BB">
        <w:rPr>
          <w:rFonts w:ascii="Times New Roman" w:hAnsi="Times New Roman" w:cs="Times New Roman"/>
          <w:sz w:val="24"/>
          <w:szCs w:val="24"/>
        </w:rPr>
        <w:t>; Koncept zdravého („úspěšného“) a aktivního stáří.</w:t>
      </w:r>
    </w:p>
    <w:p w:rsidR="00473E48" w:rsidRPr="006A23BB" w:rsidRDefault="00731850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Fenomén stáří a stárnutí populace</w:t>
      </w:r>
      <w:r w:rsidR="00473E48" w:rsidRPr="006A23BB">
        <w:rPr>
          <w:rFonts w:ascii="Times New Roman" w:hAnsi="Times New Roman" w:cs="Times New Roman"/>
          <w:sz w:val="24"/>
          <w:szCs w:val="24"/>
        </w:rPr>
        <w:t>; produktivita ve stáří</w:t>
      </w:r>
      <w:r w:rsidRPr="006A23BB">
        <w:rPr>
          <w:rFonts w:ascii="Times New Roman" w:hAnsi="Times New Roman" w:cs="Times New Roman"/>
          <w:sz w:val="24"/>
          <w:szCs w:val="24"/>
        </w:rPr>
        <w:t xml:space="preserve">; stárnutí a stáří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přirozená součást života člověka; Individuálnost stárnutí; Charakteristické rysy seniorské populace</w:t>
      </w:r>
      <w:r w:rsidR="000E6DFD"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="00320D53" w:rsidRPr="006A23BB">
        <w:rPr>
          <w:rFonts w:ascii="Times New Roman" w:hAnsi="Times New Roman" w:cs="Times New Roman"/>
          <w:sz w:val="24"/>
          <w:szCs w:val="24"/>
        </w:rPr>
        <w:t>(změna osobnosti</w:t>
      </w:r>
      <w:r w:rsidR="000E6DFD" w:rsidRPr="006A23BB">
        <w:rPr>
          <w:rFonts w:ascii="Times New Roman" w:hAnsi="Times New Roman" w:cs="Times New Roman"/>
          <w:sz w:val="24"/>
          <w:szCs w:val="24"/>
        </w:rPr>
        <w:t>?</w:t>
      </w:r>
      <w:r w:rsidR="00320D53" w:rsidRPr="006A23BB">
        <w:rPr>
          <w:rFonts w:ascii="Times New Roman" w:hAnsi="Times New Roman" w:cs="Times New Roman"/>
          <w:sz w:val="24"/>
          <w:szCs w:val="24"/>
        </w:rPr>
        <w:t>)</w:t>
      </w:r>
      <w:r w:rsidRPr="006A23BB">
        <w:rPr>
          <w:rFonts w:ascii="Times New Roman" w:hAnsi="Times New Roman" w:cs="Times New Roman"/>
          <w:sz w:val="24"/>
          <w:szCs w:val="24"/>
        </w:rPr>
        <w:t xml:space="preserve">; </w:t>
      </w:r>
      <w:r w:rsidR="00320D53" w:rsidRPr="006A23BB">
        <w:rPr>
          <w:rFonts w:ascii="Times New Roman" w:hAnsi="Times New Roman" w:cs="Times New Roman"/>
          <w:sz w:val="24"/>
          <w:szCs w:val="24"/>
        </w:rPr>
        <w:t>Mezigenera</w:t>
      </w:r>
      <w:r w:rsidR="000E6DFD" w:rsidRPr="006A23BB">
        <w:rPr>
          <w:rFonts w:ascii="Times New Roman" w:hAnsi="Times New Roman" w:cs="Times New Roman"/>
          <w:sz w:val="24"/>
          <w:szCs w:val="24"/>
        </w:rPr>
        <w:t>ční a partnerské vztahy seniorů;</w:t>
      </w:r>
      <w:r w:rsidR="00320D53"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sz w:val="24"/>
          <w:szCs w:val="24"/>
        </w:rPr>
        <w:t>Mezinárodní srovnání věkové struktury obyvatelstva</w:t>
      </w:r>
      <w:r w:rsidR="00320D53" w:rsidRPr="006A23BB">
        <w:rPr>
          <w:rFonts w:ascii="Times New Roman" w:hAnsi="Times New Roman" w:cs="Times New Roman"/>
          <w:sz w:val="24"/>
          <w:szCs w:val="24"/>
        </w:rPr>
        <w:t xml:space="preserve"> s populací seniorů v ČR.</w:t>
      </w:r>
    </w:p>
    <w:p w:rsidR="006B4B3B" w:rsidRPr="006A23BB" w:rsidRDefault="006B4B3B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Základní funkce edukace seniorů; Cíle vzdělávání seniorů; soulad společenských a individuálních potřeb; odlišnost cílů dle druhů učení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formální, neformální a informální; nové paradigma učení (informativně-poznatková detektizace, selekce, interiorizace, exteriorizace)</w:t>
      </w:r>
      <w:r w:rsidR="00473E48" w:rsidRPr="006A23BB">
        <w:rPr>
          <w:rFonts w:ascii="Times New Roman" w:hAnsi="Times New Roman" w:cs="Times New Roman"/>
          <w:sz w:val="24"/>
          <w:szCs w:val="24"/>
        </w:rPr>
        <w:t>.</w:t>
      </w:r>
    </w:p>
    <w:p w:rsidR="006B4B3B" w:rsidRPr="006A23BB" w:rsidRDefault="006B4B3B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Obsahové (kurikulární) zaměření edukace seniorů dle druhů učení; dokumenty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kurikula: učební plány a osnovy, učebnice a další učební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„</w:t>
      </w:r>
      <w:r w:rsidRPr="006A23BB">
        <w:rPr>
          <w:rFonts w:ascii="Times New Roman" w:hAnsi="Times New Roman" w:cs="Times New Roman"/>
          <w:sz w:val="24"/>
          <w:szCs w:val="24"/>
        </w:rPr>
        <w:t>konzervy</w:t>
      </w:r>
      <w:r w:rsidR="006A23BB" w:rsidRPr="006A23BB">
        <w:rPr>
          <w:rFonts w:ascii="Times New Roman" w:hAnsi="Times New Roman" w:cs="Times New Roman"/>
          <w:sz w:val="24"/>
          <w:szCs w:val="24"/>
        </w:rPr>
        <w:t>“</w:t>
      </w:r>
      <w:r w:rsidRPr="006A23BB">
        <w:rPr>
          <w:rFonts w:ascii="Times New Roman" w:hAnsi="Times New Roman" w:cs="Times New Roman"/>
          <w:sz w:val="24"/>
          <w:szCs w:val="24"/>
        </w:rPr>
        <w:t xml:space="preserve">; Zásady tvorby kurikul a příprava na výuku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výběr a uspořádání učiva na bázi potřeb a didaktických možností; didaktický systém (plánování </w:t>
      </w:r>
      <w:r w:rsidR="00073F75" w:rsidRPr="006A23BB">
        <w:rPr>
          <w:rFonts w:ascii="Times New Roman" w:hAnsi="Times New Roman" w:cs="Times New Roman"/>
          <w:sz w:val="24"/>
          <w:szCs w:val="24"/>
        </w:rPr>
        <w:t>l</w:t>
      </w:r>
      <w:r w:rsidRPr="006A23BB">
        <w:rPr>
          <w:rFonts w:ascii="Times New Roman" w:hAnsi="Times New Roman" w:cs="Times New Roman"/>
          <w:sz w:val="24"/>
          <w:szCs w:val="24"/>
        </w:rPr>
        <w:t>ektorů, forem, metod, prostředků)</w:t>
      </w:r>
      <w:r w:rsidR="00473E48" w:rsidRPr="006A23BB">
        <w:rPr>
          <w:rFonts w:ascii="Times New Roman" w:hAnsi="Times New Roman" w:cs="Times New Roman"/>
          <w:sz w:val="24"/>
          <w:szCs w:val="24"/>
        </w:rPr>
        <w:t>.</w:t>
      </w:r>
    </w:p>
    <w:p w:rsidR="00284A16" w:rsidRPr="006A23BB" w:rsidRDefault="006B4B3B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Formy v edukaci seniorů; </w:t>
      </w:r>
      <w:r w:rsidR="00473E48" w:rsidRPr="006A23BB">
        <w:rPr>
          <w:rFonts w:ascii="Times New Roman" w:hAnsi="Times New Roman" w:cs="Times New Roman"/>
          <w:sz w:val="24"/>
          <w:szCs w:val="24"/>
        </w:rPr>
        <w:t>Nejrozšířenějš</w:t>
      </w:r>
      <w:r w:rsidR="006A23BB" w:rsidRPr="006A23BB">
        <w:rPr>
          <w:rFonts w:ascii="Times New Roman" w:hAnsi="Times New Roman" w:cs="Times New Roman"/>
          <w:sz w:val="24"/>
          <w:szCs w:val="24"/>
        </w:rPr>
        <w:t xml:space="preserve">í organizační formy vzdělávání 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seniorů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 plenární, skupinové, individuální; definice, charakteristika, zásady efektivního uplatnění.</w:t>
      </w:r>
      <w:r w:rsidR="00284A16" w:rsidRPr="006A23BB">
        <w:rPr>
          <w:rFonts w:ascii="Times New Roman" w:hAnsi="Times New Roman" w:cs="Times New Roman"/>
          <w:sz w:val="24"/>
          <w:szCs w:val="24"/>
        </w:rPr>
        <w:t xml:space="preserve"> Zásady/principy efektivní edukace (výchovy a vzdělávání) seniorů. </w:t>
      </w:r>
    </w:p>
    <w:p w:rsidR="00454335" w:rsidRDefault="006B4B3B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335">
        <w:rPr>
          <w:rFonts w:ascii="Times New Roman" w:hAnsi="Times New Roman" w:cs="Times New Roman"/>
          <w:sz w:val="24"/>
          <w:szCs w:val="24"/>
        </w:rPr>
        <w:t>Metody edukace</w:t>
      </w:r>
      <w:r w:rsidR="003C0A78" w:rsidRPr="00454335">
        <w:rPr>
          <w:rFonts w:ascii="Times New Roman" w:hAnsi="Times New Roman" w:cs="Times New Roman"/>
          <w:sz w:val="24"/>
          <w:szCs w:val="24"/>
        </w:rPr>
        <w:t xml:space="preserve"> (výchovné kultivace + vzdělávání)</w:t>
      </w:r>
      <w:r w:rsidRPr="00454335">
        <w:rPr>
          <w:rFonts w:ascii="Times New Roman" w:hAnsi="Times New Roman" w:cs="Times New Roman"/>
          <w:sz w:val="24"/>
          <w:szCs w:val="24"/>
        </w:rPr>
        <w:t xml:space="preserve"> seniorů; </w:t>
      </w:r>
      <w:r w:rsidR="00473E48" w:rsidRPr="00454335">
        <w:rPr>
          <w:rFonts w:ascii="Times New Roman" w:hAnsi="Times New Roman" w:cs="Times New Roman"/>
          <w:sz w:val="24"/>
          <w:szCs w:val="24"/>
        </w:rPr>
        <w:t xml:space="preserve">Metody </w:t>
      </w:r>
      <w:r w:rsidR="003C0A78" w:rsidRPr="00454335">
        <w:rPr>
          <w:rFonts w:ascii="Times New Roman" w:hAnsi="Times New Roman" w:cs="Times New Roman"/>
          <w:sz w:val="24"/>
          <w:szCs w:val="24"/>
        </w:rPr>
        <w:t xml:space="preserve">informativní, formativní, kontrolní (pro hodnocení), metody individuálního a </w:t>
      </w:r>
      <w:r w:rsidR="00473E48" w:rsidRPr="00454335">
        <w:rPr>
          <w:rFonts w:ascii="Times New Roman" w:hAnsi="Times New Roman" w:cs="Times New Roman"/>
          <w:sz w:val="24"/>
          <w:szCs w:val="24"/>
        </w:rPr>
        <w:t>týmového vzdělávání seniorů; participační přístup; charakteristika participačních metod výuky; metody sebevzdělávání a sebekultivace; význam a připravenost prostředí pro sebevzdělávání.</w:t>
      </w:r>
    </w:p>
    <w:p w:rsidR="00A34996" w:rsidRPr="00454335" w:rsidRDefault="00473E48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335">
        <w:rPr>
          <w:rFonts w:ascii="Times New Roman" w:hAnsi="Times New Roman" w:cs="Times New Roman"/>
          <w:sz w:val="24"/>
          <w:szCs w:val="24"/>
        </w:rPr>
        <w:t>Geronto-didaktická diagnostika; význam prověřování výsledků edukace seniorů; hodnocení; takt; auto-diagnostika docility</w:t>
      </w:r>
      <w:r w:rsidR="00A34996" w:rsidRPr="00454335">
        <w:rPr>
          <w:rFonts w:ascii="Times New Roman" w:hAnsi="Times New Roman" w:cs="Times New Roman"/>
          <w:sz w:val="24"/>
          <w:szCs w:val="24"/>
        </w:rPr>
        <w:t>;</w:t>
      </w:r>
      <w:r w:rsidRPr="00454335">
        <w:rPr>
          <w:rFonts w:ascii="Times New Roman" w:hAnsi="Times New Roman" w:cs="Times New Roman"/>
          <w:sz w:val="24"/>
          <w:szCs w:val="24"/>
        </w:rPr>
        <w:t xml:space="preserve"> Metody a zásady efektivního uplatnění</w:t>
      </w:r>
      <w:r w:rsidR="00A34996" w:rsidRPr="00454335">
        <w:rPr>
          <w:rFonts w:ascii="Times New Roman" w:hAnsi="Times New Roman" w:cs="Times New Roman"/>
          <w:sz w:val="24"/>
          <w:szCs w:val="24"/>
        </w:rPr>
        <w:t>;</w:t>
      </w:r>
      <w:r w:rsidR="009B230B" w:rsidRPr="00454335">
        <w:rPr>
          <w:rFonts w:ascii="Times New Roman" w:hAnsi="Times New Roman" w:cs="Times New Roman"/>
          <w:sz w:val="24"/>
          <w:szCs w:val="24"/>
        </w:rPr>
        <w:t xml:space="preserve"> </w:t>
      </w:r>
      <w:r w:rsidR="00A34996" w:rsidRPr="00454335">
        <w:rPr>
          <w:rFonts w:ascii="Times New Roman" w:hAnsi="Times New Roman" w:cs="Times New Roman"/>
          <w:sz w:val="24"/>
          <w:szCs w:val="24"/>
        </w:rPr>
        <w:t>Význam a systém poradenství ve vzdělávání seniorů; techniky zjišťování informací; prognózování a marketing pro edukaci seniorů.</w:t>
      </w:r>
    </w:p>
    <w:p w:rsidR="006B4B3B" w:rsidRPr="006A23BB" w:rsidRDefault="006B4B3B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Prostředky a didaktická technika pro efektivní učení se seniorů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; Materiální (i nemateriální) didaktické prostředky a učební (info) technologie ulehčující edukaci dospělých a seniorů; strukturovaný pracovní sešit; PC (e-mail; internet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 info-databázy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 fulltexty); tablet, i-pot; učební a relaxační prostory; logistika, apod.</w:t>
      </w:r>
    </w:p>
    <w:p w:rsidR="00797110" w:rsidRPr="006A23BB" w:rsidRDefault="006B4B3B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Age-management versus Age-ismus; Age-management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původní a nové pojetí; Age-ismus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podstata, typické projevy, důsledky, opatření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; Manipulativní mechanizmy, techniky; </w:t>
      </w:r>
      <w:r w:rsidR="00797110" w:rsidRPr="006A23BB">
        <w:rPr>
          <w:rFonts w:ascii="Times New Roman" w:hAnsi="Times New Roman" w:cs="Times New Roman"/>
          <w:sz w:val="24"/>
          <w:szCs w:val="24"/>
        </w:rPr>
        <w:lastRenderedPageBreak/>
        <w:t>manipulativní strategie v souvislosti s nekalými obchodními praktikami vůči seniorům; manipulace a lidská důstojnost; legislativa – lidská práva a senioři.</w:t>
      </w:r>
    </w:p>
    <w:p w:rsidR="00473E48" w:rsidRPr="006A23BB" w:rsidRDefault="00473E48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Primární činitel edukačního procesu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dospělý účastník/senior (klient); vstupní úroveň, docilita; vstupní a plánované kompetence; význam (rodinného) zázemí, motivace ke vzdělávání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pro kreativitu a efektivitu učení.</w:t>
      </w:r>
    </w:p>
    <w:p w:rsidR="00473E48" w:rsidRPr="006A23BB" w:rsidRDefault="00473E48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Lektor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edukátor (kdo se skrývá pod pojmem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jaké pozice: trenér, facilitátor, animátor, kouč, poradce?); kompetence a dovednosti andragoga a gerontagoga pro edukační proces (osobnostní, profesní a didaktické, řídící, diagnostické?); lektorská sebereflexe; hospitace.</w:t>
      </w:r>
    </w:p>
    <w:p w:rsidR="00DA3FD7" w:rsidRPr="006A23BB" w:rsidRDefault="00797110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Národní a n</w:t>
      </w:r>
      <w:r w:rsidR="003E114C" w:rsidRPr="006A23BB">
        <w:rPr>
          <w:rFonts w:ascii="Times New Roman" w:hAnsi="Times New Roman" w:cs="Times New Roman"/>
          <w:sz w:val="24"/>
          <w:szCs w:val="24"/>
        </w:rPr>
        <w:t xml:space="preserve">adnárodní instituce podporující efektivnost edukace seniorů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bCs/>
          <w:sz w:val="24"/>
          <w:szCs w:val="24"/>
        </w:rPr>
        <w:t xml:space="preserve">Rada vlády ČR pro seniory a stárnutí, U3V, </w:t>
      </w:r>
      <w:r w:rsidRPr="006A23BB">
        <w:rPr>
          <w:rFonts w:ascii="Times New Roman" w:hAnsi="Times New Roman" w:cs="Times New Roman"/>
          <w:sz w:val="24"/>
          <w:szCs w:val="24"/>
        </w:rPr>
        <w:t>Asociace univerzit třetího v</w:t>
      </w:r>
      <w:r w:rsidR="00592343">
        <w:rPr>
          <w:rFonts w:ascii="Times New Roman" w:hAnsi="Times New Roman" w:cs="Times New Roman"/>
          <w:sz w:val="24"/>
          <w:szCs w:val="24"/>
        </w:rPr>
        <w:t>ě</w:t>
      </w:r>
      <w:r w:rsidRPr="006A23BB">
        <w:rPr>
          <w:rFonts w:ascii="Times New Roman" w:hAnsi="Times New Roman" w:cs="Times New Roman"/>
          <w:sz w:val="24"/>
          <w:szCs w:val="24"/>
        </w:rPr>
        <w:t>ku, EURAG ČR, ŽIVOT 90 a</w:t>
      </w:r>
      <w:r w:rsidR="006A23BB"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sz w:val="24"/>
          <w:szCs w:val="24"/>
        </w:rPr>
        <w:t>dal</w:t>
      </w:r>
      <w:r w:rsidR="006A23BB" w:rsidRPr="006A23BB">
        <w:rPr>
          <w:rFonts w:ascii="Times New Roman" w:hAnsi="Times New Roman" w:cs="Times New Roman"/>
          <w:sz w:val="24"/>
          <w:szCs w:val="24"/>
        </w:rPr>
        <w:t>ší</w:t>
      </w:r>
      <w:r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bCs/>
          <w:sz w:val="24"/>
          <w:szCs w:val="24"/>
        </w:rPr>
        <w:t>nevládní organizace,</w:t>
      </w:r>
      <w:r w:rsidR="006A23BB" w:rsidRPr="006A23BB">
        <w:rPr>
          <w:rFonts w:ascii="Times New Roman" w:hAnsi="Times New Roman" w:cs="Times New Roman"/>
          <w:sz w:val="24"/>
          <w:szCs w:val="24"/>
        </w:rPr>
        <w:t xml:space="preserve"> seniorská sdružení a </w:t>
      </w:r>
      <w:r w:rsidRPr="006A23BB">
        <w:rPr>
          <w:rFonts w:ascii="Times New Roman" w:hAnsi="Times New Roman" w:cs="Times New Roman"/>
          <w:sz w:val="24"/>
          <w:szCs w:val="24"/>
        </w:rPr>
        <w:t xml:space="preserve">organizace…; </w:t>
      </w:r>
      <w:r w:rsidR="003E114C" w:rsidRPr="006A23BB">
        <w:rPr>
          <w:rFonts w:ascii="Times New Roman" w:hAnsi="Times New Roman" w:cs="Times New Roman"/>
          <w:sz w:val="24"/>
          <w:szCs w:val="24"/>
        </w:rPr>
        <w:t xml:space="preserve">OSN (UNESCO + </w:t>
      </w:r>
      <w:r w:rsidR="00526B99" w:rsidRPr="006A23BB">
        <w:rPr>
          <w:rFonts w:ascii="Times New Roman" w:hAnsi="Times New Roman" w:cs="Times New Roman"/>
          <w:sz w:val="24"/>
          <w:szCs w:val="24"/>
        </w:rPr>
        <w:t xml:space="preserve">WHO + </w:t>
      </w:r>
      <w:r w:rsidR="003E114C" w:rsidRPr="006A23BB">
        <w:rPr>
          <w:rFonts w:ascii="Times New Roman" w:hAnsi="Times New Roman" w:cs="Times New Roman"/>
          <w:sz w:val="24"/>
          <w:szCs w:val="24"/>
        </w:rPr>
        <w:t>stálé komise + konference a pod.); EU (EK + inst</w:t>
      </w:r>
      <w:r w:rsidR="00DA3FD7" w:rsidRPr="006A23BB">
        <w:rPr>
          <w:rFonts w:ascii="Times New Roman" w:hAnsi="Times New Roman" w:cs="Times New Roman"/>
          <w:sz w:val="24"/>
          <w:szCs w:val="24"/>
        </w:rPr>
        <w:t xml:space="preserve">ituty); OECD, </w:t>
      </w:r>
      <w:r w:rsidR="00DA3FD7" w:rsidRPr="006A23BB">
        <w:rPr>
          <w:rFonts w:ascii="Times New Roman" w:hAnsi="Times New Roman" w:cs="Times New Roman"/>
          <w:bCs/>
          <w:sz w:val="24"/>
          <w:szCs w:val="24"/>
        </w:rPr>
        <w:t xml:space="preserve">Rada Evropy, EURAG, AIUTA, EFOS </w:t>
      </w:r>
      <w:r w:rsidR="003E114C" w:rsidRPr="006A23BB">
        <w:rPr>
          <w:rFonts w:ascii="Times New Roman" w:hAnsi="Times New Roman" w:cs="Times New Roman"/>
          <w:sz w:val="24"/>
          <w:szCs w:val="24"/>
        </w:rPr>
        <w:t>a dal.</w:t>
      </w:r>
      <w:r w:rsidR="00DA3FD7" w:rsidRPr="006A23BB">
        <w:rPr>
          <w:rFonts w:ascii="Times New Roman" w:hAnsi="Times New Roman" w:cs="Times New Roman"/>
          <w:sz w:val="24"/>
          <w:szCs w:val="24"/>
        </w:rPr>
        <w:t>, jakož i evropské informační sítě</w:t>
      </w:r>
      <w:r w:rsidR="00DA3FD7" w:rsidRPr="006A2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FD7" w:rsidRPr="006A23BB">
        <w:rPr>
          <w:rFonts w:ascii="Times New Roman" w:hAnsi="Times New Roman" w:cs="Times New Roman"/>
          <w:sz w:val="24"/>
          <w:szCs w:val="24"/>
        </w:rPr>
        <w:t>LiLL, či APE a pod.</w:t>
      </w:r>
      <w:r w:rsidR="003E114C" w:rsidRPr="006A2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10" w:rsidRPr="006A23BB" w:rsidRDefault="00FC5DEE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Andragogická báze gerontagogického výzkumu. Cíle, obsah, formy, metody, principy (efektivnosti) a prostředky výzkumu.</w:t>
      </w:r>
    </w:p>
    <w:p w:rsidR="00553586" w:rsidRPr="006A23BB" w:rsidRDefault="00553586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Vliv prostředí na formování a kultivaci jedince v s</w:t>
      </w:r>
      <w:r w:rsidR="00284A16" w:rsidRPr="006A23BB">
        <w:rPr>
          <w:rFonts w:ascii="Times New Roman" w:hAnsi="Times New Roman" w:cs="Times New Roman"/>
          <w:sz w:val="24"/>
          <w:szCs w:val="24"/>
        </w:rPr>
        <w:t>é</w:t>
      </w:r>
      <w:r w:rsidRPr="006A23BB">
        <w:rPr>
          <w:rFonts w:ascii="Times New Roman" w:hAnsi="Times New Roman" w:cs="Times New Roman"/>
          <w:sz w:val="24"/>
          <w:szCs w:val="24"/>
        </w:rPr>
        <w:t>niu; kulturní návyky; mediální působení; počítačová gramotnost; finanční gramotnost</w:t>
      </w:r>
      <w:r w:rsidR="00A34996" w:rsidRPr="006A23BB">
        <w:rPr>
          <w:rFonts w:ascii="Times New Roman" w:hAnsi="Times New Roman" w:cs="Times New Roman"/>
          <w:sz w:val="24"/>
          <w:szCs w:val="24"/>
        </w:rPr>
        <w:t xml:space="preserve">; Klima a kultura </w:t>
      </w:r>
      <w:r w:rsidR="004D7259" w:rsidRPr="006A23BB">
        <w:rPr>
          <w:rFonts w:ascii="Times New Roman" w:hAnsi="Times New Roman" w:cs="Times New Roman"/>
          <w:sz w:val="24"/>
          <w:szCs w:val="24"/>
        </w:rPr>
        <w:t xml:space="preserve">rodiny i </w:t>
      </w:r>
      <w:r w:rsidR="00A34996" w:rsidRPr="006A23BB">
        <w:rPr>
          <w:rFonts w:ascii="Times New Roman" w:hAnsi="Times New Roman" w:cs="Times New Roman"/>
          <w:sz w:val="24"/>
          <w:szCs w:val="24"/>
        </w:rPr>
        <w:t>zařízení věnující se péči o seniory.</w:t>
      </w:r>
    </w:p>
    <w:p w:rsidR="00CE709A" w:rsidRPr="006A23BB" w:rsidRDefault="00CE709A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Senior se zrakovým postižením a možnosti jeho osobnostního rozvoje, kompenzační mechanismy, specifika komunikace. Ztráta zraku v dospělosti a stáří.</w:t>
      </w:r>
    </w:p>
    <w:p w:rsidR="00CE709A" w:rsidRPr="006A23BB" w:rsidRDefault="00CE709A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Senior s narušenou komunikační schopností. Možnosti reedukace, zásady komunikace. Afázie a možnosti řešení ve prospěch udržení kvality života.</w:t>
      </w:r>
    </w:p>
    <w:p w:rsidR="00C504DF" w:rsidRPr="00C504DF" w:rsidRDefault="00CE709A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</w:pPr>
      <w:r w:rsidRPr="006A23BB">
        <w:rPr>
          <w:rFonts w:ascii="Times New Roman" w:hAnsi="Times New Roman" w:cs="Times New Roman"/>
          <w:sz w:val="24"/>
          <w:szCs w:val="24"/>
        </w:rPr>
        <w:t>Senior se sluchovým postižením, možnosti komunikace a kompenzace. Dopady ztráty sluchu</w:t>
      </w:r>
      <w:r w:rsidRPr="00797110">
        <w:rPr>
          <w:rFonts w:ascii="Times New Roman" w:hAnsi="Times New Roman" w:cs="Times New Roman"/>
          <w:sz w:val="24"/>
          <w:szCs w:val="24"/>
        </w:rPr>
        <w:t xml:space="preserve"> na osobnost jedince.</w:t>
      </w:r>
      <w:r w:rsidR="000E6DFD" w:rsidRPr="00C504DF">
        <w:t xml:space="preserve"> </w:t>
      </w:r>
    </w:p>
    <w:sectPr w:rsidR="00C504DF" w:rsidRPr="00C504DF" w:rsidSect="007971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50" w:rsidRDefault="000F7850" w:rsidP="009110D3">
      <w:pPr>
        <w:spacing w:after="0" w:line="240" w:lineRule="auto"/>
      </w:pPr>
      <w:r>
        <w:separator/>
      </w:r>
    </w:p>
  </w:endnote>
  <w:endnote w:type="continuationSeparator" w:id="0">
    <w:p w:rsidR="000F7850" w:rsidRDefault="000F7850" w:rsidP="009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50" w:rsidRDefault="000F7850" w:rsidP="009110D3">
      <w:pPr>
        <w:spacing w:after="0" w:line="240" w:lineRule="auto"/>
      </w:pPr>
      <w:r>
        <w:separator/>
      </w:r>
    </w:p>
  </w:footnote>
  <w:footnote w:type="continuationSeparator" w:id="0">
    <w:p w:rsidR="000F7850" w:rsidRDefault="000F7850" w:rsidP="0091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CDC"/>
    <w:multiLevelType w:val="hybridMultilevel"/>
    <w:tmpl w:val="8ADE0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601A"/>
    <w:multiLevelType w:val="multilevel"/>
    <w:tmpl w:val="34C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22D0C"/>
    <w:multiLevelType w:val="hybridMultilevel"/>
    <w:tmpl w:val="1BB2D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6A36"/>
    <w:multiLevelType w:val="hybridMultilevel"/>
    <w:tmpl w:val="39C6EF5A"/>
    <w:lvl w:ilvl="0" w:tplc="DE702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94C"/>
    <w:multiLevelType w:val="hybridMultilevel"/>
    <w:tmpl w:val="8354B308"/>
    <w:lvl w:ilvl="0" w:tplc="7AFC83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368E"/>
    <w:multiLevelType w:val="multilevel"/>
    <w:tmpl w:val="258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DF"/>
    <w:rsid w:val="0004389C"/>
    <w:rsid w:val="00073F75"/>
    <w:rsid w:val="000B29B5"/>
    <w:rsid w:val="000E6DFD"/>
    <w:rsid w:val="000F7850"/>
    <w:rsid w:val="001555A4"/>
    <w:rsid w:val="00284A16"/>
    <w:rsid w:val="002F5489"/>
    <w:rsid w:val="00320D53"/>
    <w:rsid w:val="003C0A78"/>
    <w:rsid w:val="003E114C"/>
    <w:rsid w:val="00454335"/>
    <w:rsid w:val="00473E48"/>
    <w:rsid w:val="00481399"/>
    <w:rsid w:val="004D7259"/>
    <w:rsid w:val="00526B99"/>
    <w:rsid w:val="00553586"/>
    <w:rsid w:val="00592343"/>
    <w:rsid w:val="006A23BB"/>
    <w:rsid w:val="006B4B3B"/>
    <w:rsid w:val="006C12D5"/>
    <w:rsid w:val="006E5E4A"/>
    <w:rsid w:val="00731850"/>
    <w:rsid w:val="00763D33"/>
    <w:rsid w:val="00797110"/>
    <w:rsid w:val="007B7840"/>
    <w:rsid w:val="007C1A95"/>
    <w:rsid w:val="00857830"/>
    <w:rsid w:val="008620C2"/>
    <w:rsid w:val="009110D3"/>
    <w:rsid w:val="009B230B"/>
    <w:rsid w:val="00A34996"/>
    <w:rsid w:val="00A4134F"/>
    <w:rsid w:val="00B01B12"/>
    <w:rsid w:val="00B57378"/>
    <w:rsid w:val="00C03754"/>
    <w:rsid w:val="00C504DF"/>
    <w:rsid w:val="00CE709A"/>
    <w:rsid w:val="00DA3FD7"/>
    <w:rsid w:val="00E35471"/>
    <w:rsid w:val="00E8063C"/>
    <w:rsid w:val="00E971BF"/>
    <w:rsid w:val="00EE62D0"/>
    <w:rsid w:val="00EF473A"/>
    <w:rsid w:val="00F75B3E"/>
    <w:rsid w:val="00F83957"/>
    <w:rsid w:val="00F92CE1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4245"/>
  <w15:docId w15:val="{B1C13285-BE43-4E02-8C41-A6DD6A67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DF"/>
    <w:pPr>
      <w:ind w:left="720"/>
      <w:contextualSpacing/>
    </w:pPr>
  </w:style>
  <w:style w:type="paragraph" w:customStyle="1" w:styleId="Default">
    <w:name w:val="Default"/>
    <w:rsid w:val="00F8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1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0D3"/>
  </w:style>
  <w:style w:type="paragraph" w:styleId="Zpat">
    <w:name w:val="footer"/>
    <w:basedOn w:val="Normln"/>
    <w:link w:val="ZpatChar"/>
    <w:uiPriority w:val="99"/>
    <w:unhideWhenUsed/>
    <w:rsid w:val="0091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0D3"/>
  </w:style>
  <w:style w:type="paragraph" w:customStyle="1" w:styleId="Odstavecseseznamem1">
    <w:name w:val="Odstavec se seznamem1"/>
    <w:basedOn w:val="Normln"/>
    <w:rsid w:val="002F5489"/>
    <w:pPr>
      <w:ind w:left="720"/>
    </w:pPr>
    <w:rPr>
      <w:rFonts w:ascii="Calibri" w:eastAsia="Times New Roman" w:hAnsi="Calibri" w:cs="Calibri"/>
    </w:rPr>
  </w:style>
  <w:style w:type="paragraph" w:styleId="Textpoznpodarou">
    <w:name w:val="footnote text"/>
    <w:basedOn w:val="Normln"/>
    <w:link w:val="TextpoznpodarouChar"/>
    <w:semiHidden/>
    <w:rsid w:val="002F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F5489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Hypertextovodkaz">
    <w:name w:val="Hyperlink"/>
    <w:rsid w:val="002F5489"/>
    <w:rPr>
      <w:color w:val="000080"/>
      <w:u w:val="single"/>
    </w:rPr>
  </w:style>
  <w:style w:type="paragraph" w:customStyle="1" w:styleId="default0">
    <w:name w:val="default"/>
    <w:basedOn w:val="Normln"/>
    <w:rsid w:val="0045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89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4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3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57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Kalnicky</dc:creator>
  <cp:lastModifiedBy>Sladká</cp:lastModifiedBy>
  <cp:revision>2</cp:revision>
  <dcterms:created xsi:type="dcterms:W3CDTF">2018-10-31T18:52:00Z</dcterms:created>
  <dcterms:modified xsi:type="dcterms:W3CDTF">2018-10-31T18:52:00Z</dcterms:modified>
</cp:coreProperties>
</file>